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C74EB4" w:rsidRPr="00C74EB4" w:rsidTr="004E3C20">
        <w:tc>
          <w:tcPr>
            <w:tcW w:w="4820" w:type="dxa"/>
            <w:tcBorders>
              <w:bottom w:val="double" w:sz="12" w:space="0" w:color="auto"/>
            </w:tcBorders>
          </w:tcPr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bookmarkStart w:id="0" w:name="_GoBack"/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C74EB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ының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 районының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Иске Томбағош  ауыл советы</w:t>
            </w:r>
          </w:p>
          <w:p w:rsidR="00055211" w:rsidRPr="00C74EB4" w:rsidRDefault="00055211" w:rsidP="0005521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ауыл </w:t>
            </w:r>
            <w:r w:rsidRPr="00C74EB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биләмәһе</w:t>
            </w:r>
            <w:r w:rsidRPr="00C74E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Советы</w:t>
            </w:r>
          </w:p>
          <w:p w:rsidR="00055211" w:rsidRPr="00C74EB4" w:rsidRDefault="00055211" w:rsidP="000552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C74EB4">
              <w:rPr>
                <w:rFonts w:ascii="Times New Roman" w:eastAsia="MS Mincho" w:hAnsi="Times New Roman" w:cs="Times New Roman"/>
                <w:bCs/>
                <w:sz w:val="12"/>
                <w:szCs w:val="12"/>
                <w:lang w:eastAsia="ru-RU"/>
              </w:rPr>
              <w:t>ҙ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 урамы, 14-се йорт,</w:t>
            </w:r>
            <w:r w:rsidRPr="00C74E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Иске Томбағош 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ауылы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74E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Шаран районы Башкортостан Республика</w:t>
            </w:r>
            <w:r w:rsidRPr="00C74EB4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һ</w:t>
            </w:r>
            <w:r w:rsidRPr="00C74E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ының 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: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ttumb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@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.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</w:p>
          <w:p w:rsidR="00055211" w:rsidRPr="00C74EB4" w:rsidRDefault="00055211" w:rsidP="000552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74EB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C74E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.tumbagush.ru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D74D08" wp14:editId="79B30285">
                  <wp:extent cx="845820" cy="124206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сельского поселения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: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ttumb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@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.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r w:rsidRPr="00C74EB4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,</w:t>
            </w:r>
          </w:p>
          <w:p w:rsidR="00055211" w:rsidRPr="00C74EB4" w:rsidRDefault="00055211" w:rsidP="0005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4EB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www</w:t>
            </w:r>
            <w:r w:rsidRPr="00C74E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.tumbagush.ru</w:t>
            </w:r>
          </w:p>
          <w:p w:rsidR="00055211" w:rsidRPr="00C74EB4" w:rsidRDefault="00055211" w:rsidP="0005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55211" w:rsidRPr="00C74EB4" w:rsidRDefault="00055211" w:rsidP="00055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11" w:rsidRPr="00C74EB4" w:rsidRDefault="00055211" w:rsidP="000552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                               РЕШЕНИЕ </w:t>
      </w:r>
    </w:p>
    <w:p w:rsidR="00055211" w:rsidRPr="00C74EB4" w:rsidRDefault="00055211" w:rsidP="0005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3EF" w:rsidRPr="00C74EB4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055211" w:rsidRPr="00C74EB4" w:rsidRDefault="005913EF" w:rsidP="0005521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</w:t>
      </w:r>
      <w:r w:rsidR="00055211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 w:rsidR="00055211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Старотумбагушевский сельсовет муниципального района Шаранский район Республики Башкортостан, Совет сельского поселения Старотумбагушевский сельсовет муниципального района Шаранский район Республики Башкортостан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55211" w:rsidRPr="00C74EB4" w:rsidRDefault="005913EF" w:rsidP="0005521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55211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«О порядке принятия, учета и оформления в муниципальную собственность выморочного имущества».</w:t>
      </w:r>
    </w:p>
    <w:p w:rsidR="00F147AB" w:rsidRPr="00C74EB4" w:rsidRDefault="00ED60AC" w:rsidP="00055211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EB4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</w:t>
      </w:r>
      <w:r w:rsidR="00F147AB" w:rsidRPr="00C74EB4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Старотумбагушевский сельсовет муниципального района Шаранский район Республики Башкортостан и разместить на официальном сайте сельского поселения www.tumbagush.ru.</w:t>
      </w:r>
    </w:p>
    <w:p w:rsidR="00F147AB" w:rsidRPr="00C74EB4" w:rsidRDefault="00ED60AC" w:rsidP="00F147AB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F147AB" w:rsidRPr="00C74EB4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C74EB4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="00F147A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Совета </w:t>
      </w:r>
      <w:r w:rsidR="00F147AB" w:rsidRPr="00C74EB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бюджету, налогам, вопросам муниципальной собственности, по развитию предпринимательства, земельным вопросам, благоустройству и экологии</w:t>
      </w:r>
      <w:r w:rsidR="00F147A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211" w:rsidRPr="00C74EB4" w:rsidRDefault="00055211" w:rsidP="0005521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147AB" w:rsidRPr="00C74EB4" w:rsidRDefault="00F147AB" w:rsidP="0005521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147AB" w:rsidRPr="00C74EB4" w:rsidRDefault="00F147AB" w:rsidP="0005521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5211" w:rsidRPr="00C74EB4" w:rsidRDefault="00055211" w:rsidP="0005521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сельского поселения                                    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М.М. Тимерханов</w:t>
      </w:r>
    </w:p>
    <w:p w:rsidR="00055211" w:rsidRPr="00C74EB4" w:rsidRDefault="00055211" w:rsidP="000552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147AB" w:rsidRPr="00C74EB4" w:rsidRDefault="00F147AB" w:rsidP="000552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147AB" w:rsidRPr="00C74EB4" w:rsidRDefault="00F147AB" w:rsidP="000552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147AB" w:rsidRPr="00C74EB4" w:rsidRDefault="00F147AB" w:rsidP="000552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147AB" w:rsidRPr="00C74EB4" w:rsidRDefault="00F147AB" w:rsidP="000552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147AB" w:rsidRPr="00C74EB4" w:rsidRDefault="00F147AB" w:rsidP="000552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147AB" w:rsidRPr="00C74EB4" w:rsidRDefault="00F147AB" w:rsidP="000552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147AB" w:rsidRPr="00C74EB4" w:rsidRDefault="00F147AB" w:rsidP="000552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55211" w:rsidRPr="00C74EB4" w:rsidRDefault="00055211" w:rsidP="0005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Старотумбагушево</w:t>
      </w:r>
    </w:p>
    <w:p w:rsidR="00055211" w:rsidRPr="00C74EB4" w:rsidRDefault="00055211" w:rsidP="0005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23.03.2023г.</w:t>
      </w:r>
    </w:p>
    <w:p w:rsidR="00055211" w:rsidRPr="00C74EB4" w:rsidRDefault="00055211" w:rsidP="0005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40/32</w:t>
      </w:r>
      <w:r w:rsidR="00F147A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D60AC" w:rsidRPr="00C74EB4" w:rsidRDefault="00ED60AC" w:rsidP="00F147AB">
      <w:pPr>
        <w:pStyle w:val="a9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74E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147AB" w:rsidRPr="00C74EB4" w:rsidRDefault="00ED60AC" w:rsidP="00F147AB">
      <w:pPr>
        <w:pStyle w:val="a9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74EB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F147AB" w:rsidRPr="00C74EB4">
        <w:rPr>
          <w:rFonts w:ascii="Times New Roman" w:hAnsi="Times New Roman" w:cs="Times New Roman"/>
          <w:sz w:val="24"/>
          <w:szCs w:val="24"/>
        </w:rPr>
        <w:t>Совета сельского поселения Старотумбагушевский сельсовет муниципального района Шаранский район Республики Башкортостан</w:t>
      </w:r>
    </w:p>
    <w:p w:rsidR="005913EF" w:rsidRPr="00C74EB4" w:rsidRDefault="00ED60AC" w:rsidP="00F147AB">
      <w:pPr>
        <w:pStyle w:val="a9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74EB4">
        <w:rPr>
          <w:rFonts w:ascii="Times New Roman" w:hAnsi="Times New Roman" w:cs="Times New Roman"/>
          <w:sz w:val="24"/>
          <w:szCs w:val="24"/>
        </w:rPr>
        <w:t xml:space="preserve">от </w:t>
      </w:r>
      <w:r w:rsidR="00F147AB" w:rsidRPr="00C74EB4">
        <w:rPr>
          <w:rFonts w:ascii="Times New Roman" w:hAnsi="Times New Roman" w:cs="Times New Roman"/>
          <w:sz w:val="24"/>
          <w:szCs w:val="24"/>
        </w:rPr>
        <w:t>23.03.</w:t>
      </w:r>
      <w:r w:rsidRPr="00C74EB4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F147AB" w:rsidRPr="00C74EB4">
        <w:rPr>
          <w:rFonts w:ascii="Times New Roman" w:hAnsi="Times New Roman" w:cs="Times New Roman"/>
          <w:sz w:val="24"/>
          <w:szCs w:val="24"/>
        </w:rPr>
        <w:t>40/327</w:t>
      </w:r>
    </w:p>
    <w:p w:rsidR="00F147AB" w:rsidRPr="00C74EB4" w:rsidRDefault="00F147AB" w:rsidP="00F147AB">
      <w:pPr>
        <w:pStyle w:val="a9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13EF" w:rsidRPr="00C74EB4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913EF" w:rsidRPr="00C74EB4" w:rsidRDefault="005913EF" w:rsidP="00F147A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ПРИНЯТИЯ, УЧЕТА И ОФОРМЛЕНИЯ ВЫМОРО</w:t>
      </w:r>
      <w:r w:rsidR="00F147AB" w:rsidRPr="00C7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ЧНОГО ИМУЩЕСТВА В СОБСТВЕННОСТЬ</w:t>
      </w:r>
      <w:r w:rsidRPr="00C7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F147AB" w:rsidRPr="00C74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СТАРОТУМБАГУШЕВСКИЙ СЕЛЬСОВЕТ МУНИЦИПАЛЬНОГО РАЙОНА ШАРАНСКИЙ РАЙОН РЕСПУБЛИКИ БАШКОРТОСТАН</w:t>
      </w:r>
    </w:p>
    <w:p w:rsidR="00ED60AC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учета и оформления выморо</w:t>
      </w:r>
      <w:r w:rsidR="00F147A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имущества в собственность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147A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Старотумбагушевский сельсовет муниципального района Шаранский район Республики Башкортостан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</w:t>
      </w:r>
      <w:r w:rsidR="00F147A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Федерации", Устава Совета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147A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Старотумбагушевский сельсовет муниципального района Шаранский район Республики Башкортостан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ED60AC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жилое помещение;</w:t>
      </w:r>
    </w:p>
    <w:p w:rsidR="00F147AB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F147AB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F147AB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</w:t>
      </w:r>
      <w:r w:rsidR="00F147A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закону в собственность</w:t>
      </w:r>
      <w:r w:rsidR="00ED60AC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147A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Старотумбагушевский сельсовет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157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310157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Выявление выморочного имущества осуществляется специалистами Администрации сельского поселения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Старотумбагушевский сельсовет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310157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у умершего гражданина наследников, информация о выявлении выморочного имущества направляется в Администрацию сельского поселения в письменном виде.</w:t>
      </w:r>
    </w:p>
    <w:p w:rsidR="00310157" w:rsidRPr="00C74EB4" w:rsidRDefault="00310157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Администрация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Старотумбагушевский сельсовет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15-дневный срок со дня получения письменной информации о наличии на территории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выморочного имущества осуществляет осмотр внешнего состояния объекта и составляет акт его обследования.</w:t>
      </w:r>
    </w:p>
    <w:p w:rsidR="00310157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310157" w:rsidRPr="00C74EB4" w:rsidRDefault="005913EF" w:rsidP="00F14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наличии фактических признаков, позволяющих оценить обследованный объект как выморочное имущество, Администрация  сельского поселения 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Старотумбагушевский сельсовет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расположен такой объект;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расположен такой объект;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принадлежности объекта;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Оформление права на наследство и действия, направленные на регистрацию права муниципальной собственности на выморочное имущес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тво, осуществляет Администрация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Старотумбагушевский сельсовет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истечении 6 месяцев со дня смерти собственника имущества, обладающего признаками вымор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 имущества, Администрация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Старотумбагушевский сельсовет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Для получения свидетельства о праве на наследство на выморочное имущество, Администрация сельского поселения 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Старотумбагушевский сельсовет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 следующий пакет документов: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подтверждающие полномочия заявителя,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на умершего собственника жилого помещения: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(справку) о смерти умершего собственника жилого помещения, выданное учреждениями ЗАГС;</w:t>
      </w:r>
    </w:p>
    <w:p w:rsidR="00310157" w:rsidRPr="00C74EB4" w:rsidRDefault="00310157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домовой книги;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состав и место нахождения наследственного имущества: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технический или кадастровый паспорт;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кадастровый паспорт объекта недвижимого имущества;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договор купли-продажи недвижимого имущества (при наличии);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свидетельство о праве на наследство (при наличии);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постановление о предоставлении земельного участка (при наличии)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документы (при наличии).</w:t>
      </w:r>
    </w:p>
    <w:p w:rsidR="00310157" w:rsidRPr="00C74EB4" w:rsidRDefault="00ED60AC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0AC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0AC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димой информации, Администрация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Старотумбагушевский сельсовет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0AC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0AC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0AC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законную силу Администрация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Старотумбагушевский сельсовет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после получения свидетельства о государственной регистрации права муниципальной собственности Администрация сельского поселения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Старотумбагушевский сельсовет 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постановления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310157" w:rsidRPr="00C74EB4" w:rsidRDefault="005913EF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0AC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44179B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157" w:rsidRPr="00C74EB4" w:rsidRDefault="0003413D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310157" w:rsidRPr="00C74EB4" w:rsidRDefault="0003413D" w:rsidP="00310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собственн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обеспечивает Администрация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10157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Старотумбагушевский сельсовет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3EF" w:rsidRPr="00C74EB4" w:rsidRDefault="0003413D" w:rsidP="00631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имущества, переходящего в порядке наследования по закону в собственность Росс</w:t>
      </w:r>
      <w:r w:rsidR="00631931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Администрация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31931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Старотумбагушевский селсьовет</w:t>
      </w:r>
      <w:r w:rsidR="005913EF" w:rsidRPr="00C7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об этом налоговый орган.</w:t>
      </w:r>
    </w:p>
    <w:bookmarkEnd w:id="0"/>
    <w:p w:rsidR="00FF5C5C" w:rsidRPr="00C74EB4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C7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386255"/>
    <w:multiLevelType w:val="singleLevel"/>
    <w:tmpl w:val="E4386255"/>
    <w:lvl w:ilvl="0">
      <w:start w:val="1"/>
      <w:numFmt w:val="decimal"/>
      <w:suff w:val="space"/>
      <w:lvlText w:val="%1."/>
      <w:lvlJc w:val="left"/>
    </w:lvl>
  </w:abstractNum>
  <w:abstractNum w:abstractNumId="1">
    <w:nsid w:val="345C25DD"/>
    <w:multiLevelType w:val="multilevel"/>
    <w:tmpl w:val="345C25D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055211"/>
    <w:rsid w:val="00310157"/>
    <w:rsid w:val="00330DFD"/>
    <w:rsid w:val="0044179B"/>
    <w:rsid w:val="005913EF"/>
    <w:rsid w:val="00631931"/>
    <w:rsid w:val="0082713A"/>
    <w:rsid w:val="00C74EB4"/>
    <w:rsid w:val="00ED60AC"/>
    <w:rsid w:val="00F147AB"/>
    <w:rsid w:val="00FC7AC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55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F14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55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F14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8CE7-EA85-40DE-ABE2-17C4CFB5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8</cp:revision>
  <dcterms:created xsi:type="dcterms:W3CDTF">2023-02-22T04:11:00Z</dcterms:created>
  <dcterms:modified xsi:type="dcterms:W3CDTF">2023-04-10T07:28:00Z</dcterms:modified>
</cp:coreProperties>
</file>