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37" w:tblpY="886"/>
        <w:tblW w:w="5387" w:type="dxa"/>
        <w:tblLayout w:type="fixed"/>
        <w:tblLook w:val="04A0"/>
      </w:tblPr>
      <w:tblGrid>
        <w:gridCol w:w="5387"/>
      </w:tblGrid>
      <w:tr w:rsidR="0017054A" w:rsidRPr="00F50A53" w:rsidTr="00F22C2D">
        <w:trPr>
          <w:trHeight w:val="1134"/>
        </w:trPr>
        <w:tc>
          <w:tcPr>
            <w:tcW w:w="5387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bookmarkStart w:id="0" w:name="_GoBack"/>
            <w:bookmarkEnd w:id="0"/>
            <w:r w:rsidRPr="00F50A53">
              <w:rPr>
                <w:b/>
              </w:rPr>
              <w:t>Приложение № 1</w:t>
            </w:r>
          </w:p>
          <w:p w:rsidR="00141B2E" w:rsidRPr="00767028" w:rsidRDefault="00B351F6" w:rsidP="00141B2E">
            <w:pPr>
              <w:tabs>
                <w:tab w:val="left" w:pos="838"/>
              </w:tabs>
              <w:suppressAutoHyphens/>
              <w:ind w:left="142"/>
            </w:pPr>
            <w:r>
              <w:t>к распоряжению</w:t>
            </w:r>
            <w:r w:rsidR="00141B2E" w:rsidRPr="00767028">
              <w:t xml:space="preserve"> </w:t>
            </w:r>
            <w:r w:rsidR="00141B2E">
              <w:t>а</w:t>
            </w:r>
            <w:r w:rsidR="00141B2E" w:rsidRPr="00767028">
              <w:t xml:space="preserve">дминистрации сельского поселения </w:t>
            </w:r>
            <w:r w:rsidR="00B86937">
              <w:t>Старотумбагушевский</w:t>
            </w:r>
            <w:r w:rsidR="00141B2E" w:rsidRPr="00767028">
              <w:t xml:space="preserve"> сельсовет муниципального района </w:t>
            </w:r>
            <w:r w:rsidR="00B86937">
              <w:t>Шаранский</w:t>
            </w:r>
            <w:r w:rsidR="00141B2E" w:rsidRPr="00767028">
              <w:t xml:space="preserve"> район Республики Башкортостан</w:t>
            </w:r>
          </w:p>
          <w:p w:rsidR="0017054A" w:rsidRPr="00F50A53" w:rsidRDefault="0047266F" w:rsidP="009D7AF4">
            <w:pPr>
              <w:tabs>
                <w:tab w:val="left" w:pos="838"/>
              </w:tabs>
              <w:ind w:left="-284" w:firstLine="426"/>
            </w:pPr>
            <w:r>
              <w:t>от «</w:t>
            </w:r>
            <w:r w:rsidR="00C76412">
              <w:t>19</w:t>
            </w:r>
            <w:r>
              <w:t>»</w:t>
            </w:r>
            <w:r w:rsidR="00C76412">
              <w:t xml:space="preserve"> декабря </w:t>
            </w:r>
            <w:r w:rsidR="00B86937">
              <w:t>2019</w:t>
            </w:r>
            <w:r w:rsidR="0017054A" w:rsidRPr="00F50A53">
              <w:t xml:space="preserve">г.  № </w:t>
            </w:r>
            <w:r w:rsidR="00C76412">
              <w:t>49</w:t>
            </w:r>
            <w:r w:rsidR="00B351F6">
              <w:t xml:space="preserve"> </w:t>
            </w:r>
            <w:proofErr w:type="spellStart"/>
            <w:r w:rsidR="00B351F6">
              <w:t>р</w:t>
            </w:r>
            <w:proofErr w:type="spellEnd"/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930D33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F22C2D">
        <w:t>Администрации</w:t>
      </w:r>
      <w:r w:rsidR="00F22C2D" w:rsidRPr="00F22C2D">
        <w:t xml:space="preserve"> сельского поселения </w:t>
      </w:r>
      <w:r w:rsidR="00B86937">
        <w:t>Старотумбагушевский</w:t>
      </w:r>
      <w:r w:rsidR="00F22C2D" w:rsidRPr="00F22C2D">
        <w:t xml:space="preserve"> сельсовет муниципального района </w:t>
      </w:r>
      <w:r w:rsidR="00B86937">
        <w:t>Шаранский</w:t>
      </w:r>
      <w:r w:rsidR="00F22C2D" w:rsidRPr="00F22C2D">
        <w:t xml:space="preserve"> район Республики Башкортостан</w:t>
      </w:r>
      <w:r w:rsidR="00930D33" w:rsidRPr="00930D33">
        <w:rPr>
          <w:bCs/>
        </w:rPr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974B30">
      <w:pPr>
        <w:pStyle w:val="2-11"/>
        <w:tabs>
          <w:tab w:val="left" w:pos="1134"/>
        </w:tabs>
        <w:ind w:left="567" w:firstLine="0"/>
      </w:pP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lastRenderedPageBreak/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</w:t>
      </w:r>
      <w:proofErr w:type="spellStart"/>
      <w:r w:rsidR="007D4D63" w:rsidRPr="00E400E4">
        <w:t>ПДн</w:t>
      </w:r>
      <w:proofErr w:type="spellEnd"/>
      <w:r w:rsidR="007D4D63" w:rsidRPr="00E400E4">
        <w:t xml:space="preserve">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 xml:space="preserve">распоряжением Главы </w:t>
      </w:r>
      <w:r w:rsidR="00F22C2D">
        <w:rPr>
          <w:sz w:val="28"/>
          <w:szCs w:val="28"/>
        </w:rPr>
        <w:t>сельских поселений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lastRenderedPageBreak/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C76412" w:rsidRDefault="00C76412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бумаго-уничтожающей</w:t>
      </w:r>
      <w:proofErr w:type="spellEnd"/>
      <w:r w:rsidRPr="00B32818">
        <w:rPr>
          <w:sz w:val="28"/>
          <w:szCs w:val="28"/>
        </w:rPr>
        <w:t xml:space="preserve">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lastRenderedPageBreak/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E3" w:rsidRDefault="00B17EE3">
      <w:r>
        <w:separator/>
      </w:r>
    </w:p>
  </w:endnote>
  <w:endnote w:type="continuationSeparator" w:id="1">
    <w:p w:rsidR="00B17EE3" w:rsidRDefault="00B17EE3">
      <w:r>
        <w:continuationSeparator/>
      </w:r>
    </w:p>
  </w:endnote>
  <w:endnote w:type="continuationNotice" w:id="2">
    <w:p w:rsidR="00B17EE3" w:rsidRDefault="00B17E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0F4077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E3" w:rsidRDefault="00B17EE3">
      <w:r>
        <w:separator/>
      </w:r>
    </w:p>
  </w:footnote>
  <w:footnote w:type="continuationSeparator" w:id="1">
    <w:p w:rsidR="00B17EE3" w:rsidRDefault="00B17EE3">
      <w:r>
        <w:continuationSeparator/>
      </w:r>
    </w:p>
  </w:footnote>
  <w:footnote w:type="continuationNotice" w:id="2">
    <w:p w:rsidR="00B17EE3" w:rsidRDefault="00B17E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0F4077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4.5pt;height:4.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</w:compat>
  <w:rsids>
    <w:rsidRoot w:val="00D343E4"/>
    <w:rsid w:val="00000413"/>
    <w:rsid w:val="00005764"/>
    <w:rsid w:val="000202D7"/>
    <w:rsid w:val="0002254A"/>
    <w:rsid w:val="00025B75"/>
    <w:rsid w:val="00026DBA"/>
    <w:rsid w:val="000276C8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4077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1B2E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774FF"/>
    <w:rsid w:val="00192A6B"/>
    <w:rsid w:val="00195CE4"/>
    <w:rsid w:val="001A4990"/>
    <w:rsid w:val="001A6CA2"/>
    <w:rsid w:val="001A6CA6"/>
    <w:rsid w:val="001A722E"/>
    <w:rsid w:val="001B23C2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64236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C71A7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27069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3F3B54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266F"/>
    <w:rsid w:val="00472FCB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5E94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B71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0C0D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874C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0D33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67E5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447B"/>
    <w:rsid w:val="00A05929"/>
    <w:rsid w:val="00A10556"/>
    <w:rsid w:val="00A24460"/>
    <w:rsid w:val="00A245CA"/>
    <w:rsid w:val="00A245F7"/>
    <w:rsid w:val="00A31901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17EE3"/>
    <w:rsid w:val="00B24D75"/>
    <w:rsid w:val="00B26490"/>
    <w:rsid w:val="00B27493"/>
    <w:rsid w:val="00B32818"/>
    <w:rsid w:val="00B32B02"/>
    <w:rsid w:val="00B351F6"/>
    <w:rsid w:val="00B364E7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8693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1E45"/>
    <w:rsid w:val="00C62CD3"/>
    <w:rsid w:val="00C63DF8"/>
    <w:rsid w:val="00C64092"/>
    <w:rsid w:val="00C6577E"/>
    <w:rsid w:val="00C70B98"/>
    <w:rsid w:val="00C76412"/>
    <w:rsid w:val="00C76D06"/>
    <w:rsid w:val="00C83C39"/>
    <w:rsid w:val="00C83E2B"/>
    <w:rsid w:val="00C92726"/>
    <w:rsid w:val="00C95CC9"/>
    <w:rsid w:val="00C9627A"/>
    <w:rsid w:val="00C96BD2"/>
    <w:rsid w:val="00CB1297"/>
    <w:rsid w:val="00CB2969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0C86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E5524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9790A"/>
    <w:rsid w:val="00EA1475"/>
    <w:rsid w:val="00EA1496"/>
    <w:rsid w:val="00EA4EBE"/>
    <w:rsid w:val="00EA50FE"/>
    <w:rsid w:val="00EB3F01"/>
    <w:rsid w:val="00EB6A24"/>
    <w:rsid w:val="00EC2B01"/>
    <w:rsid w:val="00EC45B7"/>
    <w:rsid w:val="00ED0583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22C2D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3C2E-73A9-41C0-BCA7-ABF3CE1F1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FAFA3-42D5-42C0-A64D-EA56ED3A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2163</Words>
  <Characters>16335</Characters>
  <Application>Microsoft Office Word</Application>
  <DocSecurity>0</DocSecurity>
  <Lines>136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4</cp:revision>
  <cp:lastPrinted>2020-01-10T06:39:00Z</cp:lastPrinted>
  <dcterms:created xsi:type="dcterms:W3CDTF">2019-07-29T09:25:00Z</dcterms:created>
  <dcterms:modified xsi:type="dcterms:W3CDTF">2020-01-10T06:39:00Z</dcterms:modified>
</cp:coreProperties>
</file>