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C61DA0" w:rsidRPr="00CF0DF1" w:rsidTr="008C4A62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Par31"/>
            <w:bookmarkEnd w:id="0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1DA0" w:rsidRPr="00CF0DF1" w:rsidRDefault="00C61DA0" w:rsidP="008C4A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1DA0" w:rsidRPr="00CF0DF1" w:rsidRDefault="00C61DA0" w:rsidP="008C4A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C61DA0" w:rsidRPr="00D27883" w:rsidRDefault="00C61DA0" w:rsidP="00C61DA0">
      <w:pPr>
        <w:pStyle w:val="ConsTitle"/>
        <w:ind w:right="0"/>
        <w:rPr>
          <w:sz w:val="26"/>
          <w:szCs w:val="26"/>
        </w:rPr>
      </w:pPr>
    </w:p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DA0">
        <w:rPr>
          <w:rFonts w:ascii="Times New Roman" w:hAnsi="Times New Roman" w:cs="Times New Roman"/>
          <w:sz w:val="26"/>
          <w:szCs w:val="26"/>
        </w:rPr>
        <w:t>К А Р А Р</w:t>
      </w:r>
      <w:r w:rsidRPr="00C61DA0">
        <w:rPr>
          <w:rFonts w:ascii="Times New Roman" w:hAnsi="Times New Roman" w:cs="Times New Roman"/>
          <w:sz w:val="26"/>
          <w:szCs w:val="26"/>
        </w:rPr>
        <w:tab/>
      </w:r>
      <w:r w:rsidRPr="00C61DA0">
        <w:rPr>
          <w:rFonts w:ascii="Times New Roman" w:hAnsi="Times New Roman" w:cs="Times New Roman"/>
          <w:sz w:val="26"/>
          <w:szCs w:val="26"/>
        </w:rPr>
        <w:tab/>
      </w:r>
      <w:r w:rsidRPr="00C61DA0">
        <w:rPr>
          <w:rFonts w:ascii="Times New Roman" w:hAnsi="Times New Roman" w:cs="Times New Roman"/>
          <w:sz w:val="26"/>
          <w:szCs w:val="26"/>
        </w:rPr>
        <w:tab/>
      </w:r>
      <w:r w:rsidRPr="00C61DA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61DA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ПОСТАНОВЛЕНИЕ</w:t>
      </w:r>
    </w:p>
    <w:p w:rsidR="00C61DA0" w:rsidRPr="00C61DA0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61DA0" w:rsidRPr="00EB6035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B6035">
        <w:rPr>
          <w:rFonts w:ascii="Times New Roman" w:hAnsi="Times New Roman" w:cs="Times New Roman"/>
          <w:sz w:val="26"/>
          <w:szCs w:val="26"/>
        </w:rPr>
        <w:t xml:space="preserve">        22 ноябрь 2016 </w:t>
      </w:r>
      <w:proofErr w:type="spellStart"/>
      <w:r w:rsidRPr="00EB603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B6035">
        <w:rPr>
          <w:rFonts w:ascii="Times New Roman" w:hAnsi="Times New Roman" w:cs="Times New Roman"/>
          <w:sz w:val="26"/>
          <w:szCs w:val="26"/>
        </w:rPr>
        <w:t>.</w:t>
      </w:r>
      <w:r w:rsidRPr="00EB6035">
        <w:rPr>
          <w:rFonts w:ascii="Times New Roman" w:hAnsi="Times New Roman" w:cs="Times New Roman"/>
          <w:sz w:val="26"/>
          <w:szCs w:val="26"/>
        </w:rPr>
        <w:tab/>
        <w:t xml:space="preserve">                            № 84</w:t>
      </w:r>
      <w:r w:rsidRPr="00EB6035">
        <w:rPr>
          <w:rFonts w:ascii="Times New Roman" w:hAnsi="Times New Roman" w:cs="Times New Roman"/>
          <w:sz w:val="26"/>
          <w:szCs w:val="26"/>
        </w:rPr>
        <w:tab/>
      </w:r>
      <w:r w:rsidRPr="00EB6035">
        <w:rPr>
          <w:rFonts w:ascii="Times New Roman" w:hAnsi="Times New Roman" w:cs="Times New Roman"/>
          <w:sz w:val="26"/>
          <w:szCs w:val="26"/>
        </w:rPr>
        <w:tab/>
        <w:t xml:space="preserve">          22 ноября 2016 г.</w:t>
      </w:r>
    </w:p>
    <w:p w:rsidR="00C61DA0" w:rsidRPr="00EB6035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031"/>
        <w:gridCol w:w="4629"/>
      </w:tblGrid>
      <w:tr w:rsidR="00C61DA0" w:rsidRPr="00C61DA0" w:rsidTr="008C4A62">
        <w:tc>
          <w:tcPr>
            <w:tcW w:w="10031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      </w:r>
          </w:p>
          <w:p w:rsidR="00C61DA0" w:rsidRDefault="00C61DA0" w:rsidP="00C6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2017 – 2020 годы</w:t>
            </w:r>
          </w:p>
          <w:p w:rsidR="00C61DA0" w:rsidRPr="00C61DA0" w:rsidRDefault="00C61DA0" w:rsidP="00C61DA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29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1DA0" w:rsidRPr="00C61DA0" w:rsidRDefault="00C61DA0" w:rsidP="00C61D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</w:r>
      <w:r w:rsidRPr="00C61DA0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Старотумбагушевский сельсовет муниципального района Шаранский район Республики Башкортостан постановляю:</w:t>
      </w:r>
    </w:p>
    <w:p w:rsidR="00C61DA0" w:rsidRPr="00C61DA0" w:rsidRDefault="00C61DA0" w:rsidP="00C61DA0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>Утвердить «Программу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годы»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 2. Администрации Старотумбагушевского сельского поселения: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2.1. В течение трех дней со дня утверждения «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Программы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годы» направить в Правительство Республики Башкортостан и в Администрацию Шаранского района.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2.2. В течение трех месяцев со дня утверждения Программы </w:t>
      </w: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сельского поселения Старотумбагушевский сельсовет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Шаранского района Республики Башкортостан 2017 – 2020 годы разработать и утвердить план его реализации.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2.3. Обеспечить официальное опубликование Программы </w:t>
      </w: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сельского поселения Старотумбагушевский сельсовет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Шаранского района Республики Башкортостан 2017 – 2020 годы и разместить на официальном сайте сельского поселения.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3.  Настоящее решение вступает в силу после его официального опубликования.</w:t>
      </w:r>
    </w:p>
    <w:p w:rsid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4. Контроль за исполнением настоящего постановления  оставляю за собой .</w:t>
      </w:r>
    </w:p>
    <w:p w:rsid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3"/>
        <w:gridCol w:w="4788"/>
      </w:tblGrid>
      <w:tr w:rsidR="00C61DA0" w:rsidRPr="00C61DA0" w:rsidTr="008C4A62">
        <w:tc>
          <w:tcPr>
            <w:tcW w:w="4783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  <w:t xml:space="preserve">                 И.Х. Бадамшин</w:t>
            </w:r>
          </w:p>
        </w:tc>
      </w:tr>
    </w:tbl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P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color w:val="000000"/>
          <w:sz w:val="24"/>
          <w:szCs w:val="24"/>
        </w:rPr>
        <w:t>от 22 ноября 2016 года № 84</w:t>
      </w:r>
    </w:p>
    <w:p w:rsidR="00C61DA0" w:rsidRDefault="00C61DA0" w:rsidP="00C61DA0">
      <w:pPr>
        <w:pStyle w:val="ConsPlusNormal"/>
        <w:ind w:left="5387"/>
        <w:jc w:val="center"/>
      </w:pPr>
    </w:p>
    <w:p w:rsidR="00C61DA0" w:rsidRDefault="00C61DA0" w:rsidP="00C61DA0">
      <w:pPr>
        <w:pStyle w:val="ConsPlusNormal"/>
        <w:ind w:left="5387"/>
        <w:jc w:val="center"/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</w: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1.1. Настоящ</w:t>
      </w:r>
      <w:r w:rsidR="00EB6035">
        <w:rPr>
          <w:rFonts w:ascii="Times New Roman" w:hAnsi="Times New Roman" w:cs="Times New Roman"/>
          <w:sz w:val="24"/>
          <w:szCs w:val="24"/>
        </w:rPr>
        <w:t>ая</w:t>
      </w:r>
      <w:r w:rsidRPr="00C61DA0">
        <w:rPr>
          <w:rFonts w:ascii="Times New Roman" w:hAnsi="Times New Roman" w:cs="Times New Roman"/>
          <w:sz w:val="24"/>
          <w:szCs w:val="24"/>
        </w:rPr>
        <w:t xml:space="preserve"> Программа о составе и порядке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 градостроительной деятельности в Республике Башкортостан" N 341-з от 11.07.2006.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1.3.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1.3.1. Документами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(далее - документы территориального планирования) являются: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генеральный план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>,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  <w:r w:rsidRPr="00C61DA0">
        <w:rPr>
          <w:rFonts w:ascii="Times New Roman" w:hAnsi="Times New Roman" w:cs="Times New Roman"/>
          <w:color w:val="FF0000"/>
          <w:sz w:val="24"/>
          <w:szCs w:val="24"/>
        </w:rPr>
        <w:t>-Правила землепользования и застройки.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1.4. Целями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являются: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1) реализация полномочий органов местного самоуправления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в области градостроительной деятельности,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2) устойчивое социально-экономическое развитие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1.5. Подготовка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в соответствии с Градостроительным кодексом Российской Федерации, 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Шаранский район Республики Башкортостан и настоящим Программам.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1.6. Подготовка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с учетом положений схемы территориального планирования муниципального района Шаранский район и схемы территориального планирования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1.7. Организацию территориального планирования на территории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обеспечивает Администрация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 совместно с Администрацией муниципального района Шаранский район.</w:t>
      </w: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2. СОСТАВ ДОКУМЕНТОВ ТЕРРИТОРИАЛЬНОГО ПЛАНИРОВАНИЯ</w:t>
      </w:r>
    </w:p>
    <w:p w:rsid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</w:t>
      </w: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2.1. Генеральный план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2.1.2. Генеральный план включает в себя: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основной чертеж;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обязательные положения пояснительной записки;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по обоснованию.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2.1.4. Основной чертеж содержит карты-схемы, на которых отображаются: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существующая и планируемая границы населенных пунктов, входящих в состав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направления трасс транспортных и инженерных коммуникаций;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территорий объектов культурного наследия;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территории первоочередного градостроительного освоения;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1DA0">
        <w:rPr>
          <w:rFonts w:ascii="Times New Roman" w:hAnsi="Times New Roman" w:cs="Times New Roman"/>
          <w:sz w:val="24"/>
          <w:szCs w:val="24"/>
        </w:rPr>
        <w:t>распрограмма</w:t>
      </w:r>
      <w:proofErr w:type="spellEnd"/>
      <w:r w:rsidRPr="00C61DA0">
        <w:rPr>
          <w:rFonts w:ascii="Times New Roman" w:hAnsi="Times New Roman" w:cs="Times New Roman"/>
          <w:sz w:val="24"/>
          <w:szCs w:val="24"/>
        </w:rPr>
        <w:t xml:space="preserve"> других объектов и зон функционального назначения по предложениям Заказчика.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2.1.5. Обязательные положения пояснительной записки генерального плана должны содержать: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анализ состояния территории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установлению границ сельского поселения, населенных пунктов, входящих в его состав;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меры по улучшению экологической обстановки;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первоочередным градостроительным мероприятиям для реализации генерального плана;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1DA0">
        <w:rPr>
          <w:rFonts w:ascii="Times New Roman" w:hAnsi="Times New Roman" w:cs="Times New Roman"/>
          <w:color w:val="C00000"/>
          <w:sz w:val="24"/>
          <w:szCs w:val="24"/>
        </w:rPr>
        <w:t xml:space="preserve">2.2. Правила землепользования и застройки сельского поселения </w:t>
      </w:r>
      <w:r w:rsidR="00C61DA0" w:rsidRPr="00C61DA0">
        <w:rPr>
          <w:rFonts w:ascii="Times New Roman" w:hAnsi="Times New Roman" w:cs="Times New Roman"/>
          <w:color w:val="C00000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color w:val="C00000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1DA0">
        <w:rPr>
          <w:rFonts w:ascii="Times New Roman" w:hAnsi="Times New Roman" w:cs="Times New Roman"/>
          <w:color w:val="C00000"/>
          <w:sz w:val="24"/>
          <w:szCs w:val="24"/>
        </w:rPr>
        <w:t>2.2.1. Правила землепользования и застройки включают в себя: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1DA0">
        <w:rPr>
          <w:rFonts w:ascii="Times New Roman" w:hAnsi="Times New Roman" w:cs="Times New Roman"/>
          <w:color w:val="C00000"/>
          <w:sz w:val="24"/>
          <w:szCs w:val="24"/>
        </w:rPr>
        <w:t>-пояснительную записку;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1DA0">
        <w:rPr>
          <w:rFonts w:ascii="Times New Roman" w:hAnsi="Times New Roman" w:cs="Times New Roman"/>
          <w:color w:val="C00000"/>
          <w:sz w:val="24"/>
          <w:szCs w:val="24"/>
        </w:rPr>
        <w:t xml:space="preserve">-карту </w:t>
      </w:r>
      <w:r w:rsidR="000B05B8" w:rsidRPr="00C61DA0">
        <w:rPr>
          <w:rFonts w:ascii="Times New Roman" w:hAnsi="Times New Roman" w:cs="Times New Roman"/>
          <w:color w:val="C00000"/>
          <w:sz w:val="24"/>
          <w:szCs w:val="24"/>
        </w:rPr>
        <w:t xml:space="preserve">градостроительного </w:t>
      </w:r>
      <w:r w:rsidRPr="00C61DA0">
        <w:rPr>
          <w:rFonts w:ascii="Times New Roman" w:hAnsi="Times New Roman" w:cs="Times New Roman"/>
          <w:color w:val="C00000"/>
          <w:sz w:val="24"/>
          <w:szCs w:val="24"/>
        </w:rPr>
        <w:t>зонирования</w:t>
      </w:r>
      <w:r w:rsidR="000B05B8" w:rsidRPr="00C61DA0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0B05B8" w:rsidRPr="00C61DA0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1DA0">
        <w:rPr>
          <w:rFonts w:ascii="Times New Roman" w:hAnsi="Times New Roman" w:cs="Times New Roman"/>
          <w:color w:val="C00000"/>
          <w:sz w:val="24"/>
          <w:szCs w:val="24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C61DA0">
        <w:rPr>
          <w:rFonts w:ascii="Times New Roman" w:hAnsi="Times New Roman" w:cs="Times New Roman"/>
          <w:sz w:val="24"/>
          <w:szCs w:val="24"/>
        </w:rPr>
        <w:t>3. ПОРЯДОК ПОДГОТОВКИ ДОКУМЕНТОВ ТЕРРИТОРИАЛЬНОГО</w:t>
      </w:r>
    </w:p>
    <w:p w:rsidR="001640DA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3.1. Подготовка проектов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по постановлению главы Администрации муниципального района Шаранский район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3.2. Задание на разработку схемы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утверждается главой Администрации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3.3. Задание на разработку схемы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должно содержать следующие основные сведения: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состав и порядок проведения инженерных изысканий;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3.4. Заказчик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должен: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обеспечить включение финансирования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в проект бюджета района;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путем проведения конкурса в установленном действующим законодательством порядке;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C61DA0"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 w:rsidRPr="00C61DA0">
        <w:rPr>
          <w:rFonts w:ascii="Times New Roman" w:hAnsi="Times New Roman" w:cs="Times New Roman"/>
          <w:sz w:val="24"/>
          <w:szCs w:val="24"/>
        </w:rPr>
        <w:t>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осуществлять контроль за разработкой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на каждом этапе и приемку документов от исполнителя.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9"/>
      <w:bookmarkEnd w:id="3"/>
      <w:r w:rsidRPr="00C61DA0">
        <w:rPr>
          <w:rFonts w:ascii="Times New Roman" w:hAnsi="Times New Roman" w:cs="Times New Roman"/>
          <w:sz w:val="24"/>
          <w:szCs w:val="24"/>
        </w:rPr>
        <w:t xml:space="preserve">3.5. Для разработки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Заказчик должен предоставить Исполнителю следующие исходные данные: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изученности объекта территориального планирования;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о демографической ситуации и занятости населения;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социальной, транспортной, инженерной, производственной инфраструктуре;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социально-экономических прогнозов развития района;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имеющихся целевых программах и программах социально-экономического развития;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современном использовании территории и ее экономической оценке;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обследования и прогнозов санитарно-гигиенического состояния и экологической ситуации;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социологических и социально-экономических обследований;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историко-архитектурные планы, проекты охраны памятников истории и культуры;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регистрационные планы подземных коммуникаций;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инвестиционных проектах, рыночной конъюнктуре и финансовом обеспечении;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3.6. Давность показателей и данных, характеризующих современное программа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3.7. Подготовка исходных данных может быть поручена Исполнителю по отдельному договору.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</w:t>
      </w:r>
      <w:r w:rsidRPr="00C61DA0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для согласования, опубликования, утверждения в порядке, установленном Градостроительном кодексом Российской Федерации.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3.10. Придание утверждаемой части проекта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муниципальными нормативно-правовыми актами.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их согласование в установленном законом порядке и утверждение обеспечивает администрация поселения, применительно к территории которого разработаны указанные документы.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4. ПОРЯДОК ПОДГОТОВКИ ИЗМЕНЕНИЙ В ДОКУМЕНТЫ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ВНЕСЕНИЯ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ИХ В ТАКИЕ ДОКУМЕНТЫ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4.2. Подготовка изменений в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0B05B8" w:rsidRPr="001640DA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40DA">
        <w:rPr>
          <w:rFonts w:ascii="Times New Roman" w:hAnsi="Times New Roman" w:cs="Times New Roman"/>
          <w:color w:val="C00000"/>
          <w:sz w:val="24"/>
          <w:szCs w:val="24"/>
        </w:rPr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61DA0" w:rsidRPr="001640DA">
        <w:rPr>
          <w:rFonts w:ascii="Times New Roman" w:hAnsi="Times New Roman" w:cs="Times New Roman"/>
          <w:color w:val="C00000"/>
          <w:sz w:val="24"/>
          <w:szCs w:val="24"/>
        </w:rPr>
        <w:t>Старотумбагушевский сельсовет</w:t>
      </w:r>
      <w:r w:rsidRPr="001640DA">
        <w:rPr>
          <w:rFonts w:ascii="Times New Roman" w:hAnsi="Times New Roman" w:cs="Times New Roman"/>
          <w:color w:val="C00000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5. ПОРЯДОК ПОДГОТОВКИ ПЛАНОВ РЕАЛИЗАЦИИ ДОКУМЕНТОВ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5.1. Подготовку плана реализации документа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осуществляет сельское поселение </w:t>
      </w:r>
      <w:r w:rsidRPr="00C61DA0">
        <w:rPr>
          <w:rFonts w:ascii="Times New Roman" w:hAnsi="Times New Roman" w:cs="Times New Roman"/>
          <w:sz w:val="24"/>
          <w:szCs w:val="24"/>
        </w:rPr>
        <w:lastRenderedPageBreak/>
        <w:t>совместно с отделом строительства и архитектуры Администрации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5.2. Подготовка планов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Планы реализации генерального плана</w:t>
      </w:r>
      <w:r w:rsidR="000B05B8" w:rsidRPr="00C61DA0">
        <w:rPr>
          <w:rFonts w:ascii="Times New Roman" w:hAnsi="Times New Roman" w:cs="Times New Roman"/>
          <w:sz w:val="24"/>
          <w:szCs w:val="24"/>
        </w:rPr>
        <w:t xml:space="preserve"> и </w:t>
      </w:r>
      <w:r w:rsidR="000B05B8" w:rsidRPr="001640DA">
        <w:rPr>
          <w:rFonts w:ascii="Times New Roman" w:hAnsi="Times New Roman" w:cs="Times New Roman"/>
          <w:color w:val="C00000"/>
          <w:sz w:val="24"/>
          <w:szCs w:val="24"/>
        </w:rPr>
        <w:t>правил землепользования и застройки</w:t>
      </w:r>
      <w:r w:rsidRPr="00C61DA0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подготавливаются на основании и с учетом: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3) результатов публичных слушаний;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5) положений, содержащихся в схеме территориального планирования муниципального района Шаранский район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6) региональных и местных нормативов градостроительного проектирования.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5.3. План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или иными лицами.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после их обсуждения на публичных слушаниях и согласования с представительным органом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5.5. Планы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5.6. В планы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5.7. На основании и с учетом планов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и иными муниципальными нормативными правовыми актами.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Контроль за выполнением мероприятий, предусмотренных планом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осуществляется Администрацией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tbl>
      <w:tblPr>
        <w:tblW w:w="99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4171"/>
        <w:gridCol w:w="2410"/>
        <w:gridCol w:w="1161"/>
        <w:gridCol w:w="990"/>
        <w:gridCol w:w="726"/>
        <w:gridCol w:w="50"/>
      </w:tblGrid>
      <w:tr w:rsidR="001640DA" w:rsidRPr="00C61DA0" w:rsidTr="00EB6035">
        <w:trPr>
          <w:gridAfter w:val="1"/>
          <w:wAfter w:w="5" w:type="dxa"/>
          <w:tblCellSpacing w:w="15" w:type="dxa"/>
        </w:trPr>
        <w:tc>
          <w:tcPr>
            <w:tcW w:w="375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640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dxa"/>
            <w:vAlign w:val="center"/>
            <w:hideMark/>
          </w:tcPr>
          <w:p w:rsidR="0052230C" w:rsidRPr="00C61DA0" w:rsidRDefault="0052230C" w:rsidP="00EB6035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2380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1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52230C" w:rsidRPr="00C61DA0" w:rsidRDefault="0052230C" w:rsidP="00EB6035">
            <w:pPr>
              <w:pStyle w:val="a4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40DA" w:rsidRPr="00C61DA0" w:rsidTr="00EB6035">
        <w:trPr>
          <w:tblCellSpacing w:w="15" w:type="dxa"/>
        </w:trPr>
        <w:tc>
          <w:tcPr>
            <w:tcW w:w="375" w:type="dxa"/>
            <w:vAlign w:val="center"/>
            <w:hideMark/>
          </w:tcPr>
          <w:p w:rsidR="0052230C" w:rsidRPr="00C61DA0" w:rsidRDefault="0052230C" w:rsidP="001640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  <w:hideMark/>
          </w:tcPr>
          <w:p w:rsidR="0052230C" w:rsidRPr="00C61DA0" w:rsidRDefault="0052230C" w:rsidP="001640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территориального планирования сельского поселения </w:t>
            </w:r>
            <w:r w:rsidR="00C61DA0" w:rsidRPr="00C61DA0">
              <w:rPr>
                <w:rFonts w:ascii="Times New Roman" w:hAnsi="Times New Roman" w:cs="Times New Roman"/>
                <w:sz w:val="24"/>
                <w:szCs w:val="24"/>
              </w:rPr>
              <w:t>Старотумбагушевский сельсовет</w:t>
            </w: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на 201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vAlign w:val="center"/>
            <w:hideMark/>
          </w:tcPr>
          <w:p w:rsidR="0052230C" w:rsidRPr="00C61DA0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640DA">
              <w:rPr>
                <w:rFonts w:ascii="Times New Roman" w:hAnsi="Times New Roman" w:cs="Times New Roman"/>
                <w:sz w:val="24"/>
                <w:szCs w:val="24"/>
              </w:rPr>
              <w:t xml:space="preserve"> Старотумбагушево</w:t>
            </w:r>
          </w:p>
        </w:tc>
        <w:tc>
          <w:tcPr>
            <w:tcW w:w="1131" w:type="dxa"/>
            <w:vAlign w:val="center"/>
            <w:hideMark/>
          </w:tcPr>
          <w:p w:rsidR="0052230C" w:rsidRPr="00C61DA0" w:rsidRDefault="001640DA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30C" w:rsidRPr="00C61DA0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960" w:type="dxa"/>
            <w:vAlign w:val="center"/>
            <w:hideMark/>
          </w:tcPr>
          <w:p w:rsidR="0052230C" w:rsidRPr="00C61DA0" w:rsidRDefault="0052230C" w:rsidP="00C61DA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vAlign w:val="center"/>
            <w:hideMark/>
          </w:tcPr>
          <w:p w:rsidR="0052230C" w:rsidRPr="00C61DA0" w:rsidRDefault="0052230C" w:rsidP="00C61DA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5B8" w:rsidRPr="00C61DA0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B05B8" w:rsidRPr="00C61DA0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40DA" w:rsidRDefault="000B05B8" w:rsidP="001640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640DA">
        <w:rPr>
          <w:rFonts w:ascii="Times New Roman" w:hAnsi="Times New Roman" w:cs="Times New Roman"/>
          <w:color w:val="C00000"/>
          <w:sz w:val="24"/>
          <w:szCs w:val="24"/>
        </w:rPr>
        <w:t xml:space="preserve">Внесение изменений в Правила землепользования и застройки СП </w:t>
      </w:r>
      <w:r w:rsidR="00C61DA0" w:rsidRPr="001640DA">
        <w:rPr>
          <w:rFonts w:ascii="Times New Roman" w:hAnsi="Times New Roman" w:cs="Times New Roman"/>
          <w:color w:val="C00000"/>
          <w:sz w:val="24"/>
          <w:szCs w:val="24"/>
        </w:rPr>
        <w:t>Старотумбагушевский сельсовет</w:t>
      </w:r>
      <w:r w:rsidRPr="001640DA">
        <w:rPr>
          <w:rFonts w:ascii="Times New Roman" w:hAnsi="Times New Roman" w:cs="Times New Roman"/>
          <w:color w:val="C00000"/>
          <w:sz w:val="24"/>
          <w:szCs w:val="24"/>
        </w:rPr>
        <w:t xml:space="preserve"> 2017</w:t>
      </w:r>
      <w:r w:rsidR="00EB60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640DA">
        <w:rPr>
          <w:rFonts w:ascii="Times New Roman" w:hAnsi="Times New Roman" w:cs="Times New Roman"/>
          <w:color w:val="C00000"/>
          <w:sz w:val="24"/>
          <w:szCs w:val="24"/>
        </w:rPr>
        <w:t>г. 50,0 тыс.руб.</w:t>
      </w:r>
    </w:p>
    <w:p w:rsidR="001640DA" w:rsidRDefault="001640DA" w:rsidP="001640DA">
      <w:pPr>
        <w:pStyle w:val="a4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378CE" w:rsidRPr="00C61DA0" w:rsidRDefault="008378CE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378CE" w:rsidRPr="00C61DA0" w:rsidSect="00C61D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</w:abstractNum>
  <w:abstractNum w:abstractNumId="1">
    <w:nsid w:val="61FB21D6"/>
    <w:multiLevelType w:val="hybridMultilevel"/>
    <w:tmpl w:val="7D0A7F02"/>
    <w:lvl w:ilvl="0" w:tplc="D85C0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02C79"/>
    <w:multiLevelType w:val="hybridMultilevel"/>
    <w:tmpl w:val="5F4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27"/>
    <w:rsid w:val="00096E06"/>
    <w:rsid w:val="000B05B8"/>
    <w:rsid w:val="001640DA"/>
    <w:rsid w:val="001C2990"/>
    <w:rsid w:val="002C379E"/>
    <w:rsid w:val="0052230C"/>
    <w:rsid w:val="008378CE"/>
    <w:rsid w:val="008D00AC"/>
    <w:rsid w:val="009E4027"/>
    <w:rsid w:val="00C61DA0"/>
    <w:rsid w:val="00EB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30C"/>
  </w:style>
  <w:style w:type="paragraph" w:customStyle="1" w:styleId="p22">
    <w:name w:val="p22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230C"/>
  </w:style>
  <w:style w:type="paragraph" w:customStyle="1" w:styleId="p23">
    <w:name w:val="p23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30C"/>
  </w:style>
  <w:style w:type="paragraph" w:customStyle="1" w:styleId="ConsPlusNormal">
    <w:name w:val="ConsPlusNormal"/>
    <w:rsid w:val="00C61DA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61DA0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14">
    <w:name w:val="Обычный + 14 пт"/>
    <w:basedOn w:val="a"/>
    <w:rsid w:val="00C61DA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qFormat/>
    <w:rsid w:val="00C61DA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C61D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User</cp:lastModifiedBy>
  <cp:revision>2</cp:revision>
  <cp:lastPrinted>2016-12-01T11:57:00Z</cp:lastPrinted>
  <dcterms:created xsi:type="dcterms:W3CDTF">2016-12-01T12:02:00Z</dcterms:created>
  <dcterms:modified xsi:type="dcterms:W3CDTF">2016-12-01T12:02:00Z</dcterms:modified>
</cp:coreProperties>
</file>